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8"/>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8"/>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8"/>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eastAsia="zh-CN"/>
        </w:rPr>
        <w:t>以上资料，装订成册，扫描电子版在规定时间内发至邮箱</w:t>
      </w:r>
      <w:r>
        <w:rPr>
          <w:rFonts w:hint="eastAsia"/>
          <w:sz w:val="30"/>
          <w:lang w:val="en-US" w:eastAsia="zh-CN"/>
        </w:rPr>
        <w:t>srmyyhczj@126.com，邮件名称：项目编码+项目名称+供应商名称，不需再交纸质版。</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报名截止时间：2022年9月24日</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地址：石家庄建华南大街365号石家庄市人民医院</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 xml:space="preserve">                            医学装备部</w:t>
      </w:r>
    </w:p>
    <w:p>
      <w:pPr>
        <w:pStyle w:val="8"/>
        <w:numPr>
          <w:ilvl w:val="0"/>
          <w:numId w:val="0"/>
        </w:numPr>
        <w:tabs>
          <w:tab w:val="left" w:pos="2254"/>
        </w:tabs>
        <w:spacing w:before="0" w:after="0" w:line="273" w:lineRule="auto"/>
        <w:ind w:leftChars="200" w:right="905" w:rightChars="0" w:firstLine="600" w:firstLineChars="200"/>
        <w:jc w:val="left"/>
        <w:rPr>
          <w:rFonts w:hint="default"/>
          <w:sz w:val="30"/>
          <w:lang w:val="en-US" w:eastAsia="zh-CN"/>
        </w:rPr>
      </w:pPr>
      <w:r>
        <w:rPr>
          <w:rFonts w:hint="eastAsia"/>
          <w:sz w:val="30"/>
          <w:lang w:val="en-US" w:eastAsia="zh-CN"/>
        </w:rPr>
        <w:t xml:space="preserve">                          2022年9月20日</w:t>
      </w:r>
    </w:p>
    <w:p>
      <w:pPr>
        <w:spacing w:line="320" w:lineRule="exact"/>
        <w:rPr>
          <w:rFonts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4"/>
        <w:tblpPr w:leftFromText="180" w:rightFromText="180" w:vertAnchor="text" w:horzAnchor="page" w:tblpX="1792" w:tblpY="723"/>
        <w:tblW w:w="8845" w:type="dxa"/>
        <w:tblInd w:w="0" w:type="dxa"/>
        <w:tblLayout w:type="fixed"/>
        <w:tblCellMar>
          <w:top w:w="0" w:type="dxa"/>
          <w:left w:w="108" w:type="dxa"/>
          <w:bottom w:w="0" w:type="dxa"/>
          <w:right w:w="108" w:type="dxa"/>
        </w:tblCellMar>
      </w:tblPr>
      <w:tblGrid>
        <w:gridCol w:w="1331"/>
        <w:gridCol w:w="1650"/>
        <w:gridCol w:w="5864"/>
      </w:tblGrid>
      <w:tr>
        <w:tblPrEx>
          <w:tblCellMar>
            <w:top w:w="0" w:type="dxa"/>
            <w:left w:w="108" w:type="dxa"/>
            <w:bottom w:w="0" w:type="dxa"/>
            <w:right w:w="108" w:type="dxa"/>
          </w:tblCellMar>
        </w:tblPrEx>
        <w:trPr>
          <w:trHeight w:val="703"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项目编码</w:t>
            </w:r>
          </w:p>
        </w:tc>
        <w:tc>
          <w:tcPr>
            <w:tcW w:w="1650"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5864"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firstLine="482" w:firstLineChars="20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功能需求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X0912-1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胸骨板</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4"/>
                <w:szCs w:val="24"/>
                <w:lang w:val="en-US" w:eastAsia="zh-CN"/>
              </w:rPr>
            </w:pPr>
            <w:r>
              <w:rPr>
                <w:rFonts w:hint="eastAsia" w:ascii="宋体" w:hAnsi="宋体" w:eastAsia="宋体" w:cs="宋体"/>
                <w:b w:val="0"/>
                <w:i w:val="0"/>
                <w:caps w:val="0"/>
                <w:spacing w:val="0"/>
                <w:w w:val="100"/>
                <w:sz w:val="24"/>
                <w:szCs w:val="24"/>
              </w:rPr>
              <w:t>用于固定胸骨，减少并发症</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操作简单，生物相容性好，减少移位，方便二次开胸和尤其适用骨质疏松的病人。</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X0912-2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氧化膜单铆房间隔（室间隔、动脉导管未闭）封堵器</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1.先天性心脏病封堵</w:t>
            </w:r>
          </w:p>
          <w:p>
            <w:pPr>
              <w:snapToGrid/>
              <w:spacing w:before="0" w:beforeAutospacing="0" w:after="0" w:afterAutospacing="0" w:line="24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rPr>
              <w:t>.型号规格齐全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X0912-3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人工生物心脏瓣膜</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1.心脏瓣膜置换</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b w:val="0"/>
                <w:i w:val="0"/>
                <w:caps w:val="0"/>
                <w:spacing w:val="0"/>
                <w:w w:val="100"/>
                <w:sz w:val="24"/>
                <w:szCs w:val="24"/>
              </w:rPr>
              <w:t>牛心包瓣，价格适中，国产</w:t>
            </w:r>
            <w:r>
              <w:rPr>
                <w:rFonts w:hint="eastAsia" w:ascii="宋体" w:hAnsi="宋体" w:eastAsia="宋体" w:cs="宋体"/>
                <w:b w:val="0"/>
                <w:i w:val="0"/>
                <w:caps w:val="0"/>
                <w:spacing w:val="0"/>
                <w:w w:val="100"/>
                <w:sz w:val="24"/>
                <w:szCs w:val="24"/>
                <w:lang w:eastAsia="zh-CN"/>
              </w:rPr>
              <w:t>。</w:t>
            </w:r>
          </w:p>
          <w:p>
            <w:pPr>
              <w:rPr>
                <w:rFonts w:hint="eastAsia"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S0912-1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一次性使用负压护创材料</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s-ES" w:eastAsia="zh-CN"/>
              </w:rPr>
              <w:t>适用于各种急性型伤口、创面;各种烧伤创面；包括难固定植皮区、经治疗后难以愈合的残留创面；各种组织瓣转移前的创面准备；植皮及植皮区保护；难愈性创面（压力性溃疡，糖尿病足等）。</w:t>
            </w:r>
          </w:p>
        </w:tc>
      </w:tr>
      <w:tr>
        <w:tblPrEx>
          <w:tblCellMar>
            <w:top w:w="0" w:type="dxa"/>
            <w:left w:w="108" w:type="dxa"/>
            <w:bottom w:w="0" w:type="dxa"/>
            <w:right w:w="108" w:type="dxa"/>
          </w:tblCellMar>
        </w:tblPrEx>
        <w:trPr>
          <w:trHeight w:val="1005"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S0912-2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皮肤创面无机敷料</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s-ES" w:eastAsia="zh-CN"/>
              </w:rPr>
              <w:t>浅II度~深II度烧伤创面、烧伤后期残余小创面、供皮区创面、小皮片植皮创面、难愈性创面（压力性溃疡，糖尿病足等）等</w:t>
            </w:r>
          </w:p>
        </w:tc>
      </w:tr>
      <w:tr>
        <w:tblPrEx>
          <w:tblCellMar>
            <w:top w:w="0" w:type="dxa"/>
            <w:left w:w="108" w:type="dxa"/>
            <w:bottom w:w="0" w:type="dxa"/>
            <w:right w:w="108" w:type="dxa"/>
          </w:tblCellMar>
        </w:tblPrEx>
        <w:trPr>
          <w:trHeight w:val="641"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一次性泵用流量设定精密过滤输液器</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1、持续静脉输注药物</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2、持续精准、稳定控制药物流量</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3、精密过滤</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4、有效保持血药浓度</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es-ES" w:eastAsia="zh-CN"/>
              </w:rPr>
              <w:t>、输液器材质安全</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es-ES" w:eastAsia="zh-CN"/>
              </w:rPr>
              <w:t>、泵体结构独特 ，输液动力稳定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es-ES" w:eastAsia="zh-CN"/>
              </w:rPr>
              <w:t>操作简单，使用过程中流速稳定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lang w:val="es-ES" w:eastAsia="zh-CN"/>
              </w:rPr>
              <w:t>产品无电源、携带方便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val="es-ES" w:eastAsia="zh-CN"/>
              </w:rPr>
              <w:t>精密过滤器为1.2um和0.2um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M0912-2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一次性使用麻醉回路过滤器</w:t>
            </w:r>
            <w:r>
              <w:rPr>
                <w:rFonts w:hint="eastAsia" w:ascii="宋体" w:hAnsi="宋体" w:eastAsia="宋体" w:cs="宋体"/>
                <w:kern w:val="0"/>
                <w:sz w:val="24"/>
                <w:szCs w:val="24"/>
                <w:lang w:val="es-ES" w:eastAsia="zh-CN"/>
              </w:rPr>
              <w:t xml:space="preserve"> </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适用于全身麻醉手术</w:t>
            </w:r>
            <w:r>
              <w:rPr>
                <w:rFonts w:hint="eastAsia" w:ascii="宋体" w:hAnsi="宋体" w:eastAsia="宋体" w:cs="宋体"/>
                <w:kern w:val="0"/>
                <w:sz w:val="24"/>
                <w:szCs w:val="24"/>
                <w:lang w:val="en-US" w:eastAsia="en-US"/>
              </w:rPr>
              <w:t>、</w:t>
            </w:r>
            <w:r>
              <w:rPr>
                <w:rFonts w:hint="eastAsia" w:ascii="宋体" w:hAnsi="宋体" w:eastAsia="宋体" w:cs="宋体"/>
                <w:kern w:val="0"/>
                <w:sz w:val="24"/>
                <w:szCs w:val="24"/>
                <w:lang w:val="en-US" w:eastAsia="zh-CN"/>
              </w:rPr>
              <w:t>呼吸机治疗</w:t>
            </w:r>
            <w:r>
              <w:rPr>
                <w:rFonts w:hint="eastAsia" w:ascii="宋体" w:hAnsi="宋体" w:eastAsia="宋体" w:cs="宋体"/>
                <w:kern w:val="0"/>
                <w:sz w:val="24"/>
                <w:szCs w:val="24"/>
                <w:lang w:val="en-US" w:eastAsia="en-US"/>
              </w:rPr>
              <w:t>、</w:t>
            </w:r>
            <w:r>
              <w:rPr>
                <w:rFonts w:hint="eastAsia" w:ascii="宋体" w:hAnsi="宋体" w:eastAsia="宋体" w:cs="宋体"/>
                <w:kern w:val="0"/>
                <w:sz w:val="24"/>
                <w:szCs w:val="24"/>
                <w:lang w:val="en-US" w:eastAsia="zh-CN"/>
              </w:rPr>
              <w:t>重症监护和转运过程中建立人工气道的患者，对其呼吸的气体进行湿热交换和病菌过滤。</w:t>
            </w:r>
          </w:p>
          <w:p>
            <w:pPr>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1.过滤80%以上病菌；</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2.具有保温保湿功能；</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3.产品无菌，符合感控要求。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M0912-3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一次性使用鼻咽通气异型气道导管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1.解</w:t>
            </w:r>
            <w:r>
              <w:rPr>
                <w:rFonts w:hint="default" w:ascii="宋体" w:hAnsi="宋体" w:eastAsia="宋体" w:cs="宋体"/>
                <w:kern w:val="0"/>
                <w:sz w:val="24"/>
                <w:szCs w:val="24"/>
                <w:lang w:val="en-US" w:eastAsia="zh-CN"/>
              </w:rPr>
              <w:t>决声门上气道梗阻，维持上呼吸道通气，避免舌后坠</w:t>
            </w:r>
            <w:r>
              <w:rPr>
                <w:rFonts w:hint="eastAsia" w:ascii="宋体" w:hAnsi="宋体" w:eastAsia="宋体" w:cs="宋体"/>
                <w:kern w:val="0"/>
                <w:sz w:val="24"/>
                <w:szCs w:val="24"/>
                <w:lang w:val="en-US" w:eastAsia="zh-CN"/>
              </w:rPr>
              <w:t>。</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es-ES" w:eastAsia="zh-CN"/>
              </w:rPr>
              <w:t>.采样监测管：具有呼末二氧化碳采样管与监测接口。</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es-ES" w:eastAsia="zh-CN"/>
              </w:rPr>
              <w:t>.通气管：管体内有二氧化碳取样管，可连接多种氧源给氧，管体为硅胶材质。</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4.多功能接头：具体吸氧管接头和呼吸回路接头，满足不同给氧设备连接输氧，接头可旋转方向</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宋体" w:hAnsi="宋体" w:eastAsia="宋体" w:cs="宋体"/>
                <w:kern w:val="0"/>
                <w:sz w:val="24"/>
                <w:szCs w:val="24"/>
                <w:lang w:val="es-ES" w:eastAsia="zh-CN"/>
              </w:rPr>
              <w:t>分体式可视喉镜</w:t>
            </w:r>
            <w:r>
              <w:rPr>
                <w:rFonts w:hint="eastAsia" w:ascii="宋体" w:hAnsi="宋体" w:cs="宋体"/>
                <w:sz w:val="32"/>
                <w:szCs w:val="32"/>
              </w:rPr>
              <w:t xml:space="preserve"> </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喉镜叶片按人体解剖结构90°叶片设计，符合人体生理弯曲，无需口、咽、喉三点一线。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s-ES" w:eastAsia="zh-CN"/>
              </w:rPr>
              <w:t>喉镜叶片需要有引导槽结构设计，插管不需要导丝引导，可迅速挑起会厌暴露声门。可以通过喉镜叶片引导槽结构更换ETT管，导入光纤视镜，吸痰。可用于面对面插管、清醒插管、俯卧位及胸外按压情况的插管等。</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喉镜拥有多种可视选择方案（通过智能手机连接到手机、直接观察、接入院内内窥镜镜头、WIFI摄像头直接观察或通过摄像头蓝牙发射装置连接到手机或电脑）</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val="es-ES" w:eastAsia="zh-CN"/>
              </w:rPr>
              <w:t>喉镜需要有防雾功能，启动迅速，保证各种情况下视野清晰，高光强广角冷光源，视野清晰明亮。</w:t>
            </w:r>
          </w:p>
        </w:tc>
      </w:tr>
      <w:tr>
        <w:tblPrEx>
          <w:tblCellMar>
            <w:top w:w="0" w:type="dxa"/>
            <w:left w:w="108" w:type="dxa"/>
            <w:bottom w:w="0" w:type="dxa"/>
            <w:right w:w="108" w:type="dxa"/>
          </w:tblCellMar>
        </w:tblPrEx>
        <w:trPr>
          <w:trHeight w:val="2186"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Y0916-1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一次性使用无菌眼科手术刀</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尺寸：1.角形穿刺刀 刀口宽度1.0mm-3.2mm</w:t>
            </w:r>
          </w:p>
          <w:p>
            <w:pPr>
              <w:numPr>
                <w:ilvl w:val="0"/>
                <w:numId w:val="1"/>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侧切口刀 角度15度</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月形隧道刀 刃口宽度2.0mm 2.3mm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矛形刀19g 20g</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R型植入刀 刃口宽度5.5mm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翼状胬肉切割刀 刃口宽度2.4mm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适配所有常规超声乳化仪器     </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C0916-1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eastAsia="zh-CN"/>
              </w:rPr>
            </w:pPr>
            <w:r>
              <w:rPr>
                <w:rFonts w:hint="eastAsia" w:asciiTheme="majorEastAsia" w:hAnsiTheme="majorEastAsia" w:eastAsiaTheme="majorEastAsia" w:cstheme="majorEastAsia"/>
                <w:kern w:val="0"/>
                <w:sz w:val="24"/>
                <w:szCs w:val="24"/>
                <w:lang w:val="es-ES" w:eastAsia="zh-CN"/>
              </w:rPr>
              <w:t>分隔膜密闭式三通</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2"/>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不含DEHP,无致畸变作用，减少吸附</w:t>
            </w:r>
          </w:p>
          <w:p>
            <w:pPr>
              <w:numPr>
                <w:ilvl w:val="0"/>
                <w:numId w:val="2"/>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其中一端带密闭式输液接头，预连接减少断开风险，防止三通端帽开放状态引起的污染。无死腔，满足快速补液需求</w:t>
            </w:r>
          </w:p>
          <w:p>
            <w:pPr>
              <w:numPr>
                <w:ilvl w:val="0"/>
                <w:numId w:val="2"/>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可视透明，及时观察导管冲洗及留置情况</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S0916-1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可吸收高分子组织密封膜</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1.开颅术中硬膜修补后预防脑脊液漏。</w:t>
            </w:r>
          </w:p>
          <w:p>
            <w:pPr>
              <w:numPr>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2.经蝶手术颅底重建。</w:t>
            </w:r>
          </w:p>
          <w:p>
            <w:pPr>
              <w:numPr>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 经蝶手术预防鼻腔渗漏。</w:t>
            </w:r>
          </w:p>
          <w:p>
            <w:pPr>
              <w:numPr>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4.脊柱肿瘤术后预防脑脊液渗漏。</w:t>
            </w:r>
          </w:p>
          <w:p>
            <w:pPr>
              <w:numPr>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val="en-US" w:eastAsia="zh-CN"/>
              </w:rPr>
              <w:t>5..自粘性，支撑性。同时可以为临时伤口提供可靠力量的可吸收性膜，有屏障保护作用，预防颅内感染，预防其他性感染。</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去细胞同种异体神经修复材料</w:t>
            </w:r>
          </w:p>
        </w:tc>
        <w:tc>
          <w:tcPr>
            <w:tcW w:w="5864" w:type="dxa"/>
            <w:tcBorders>
              <w:top w:val="single" w:color="auto" w:sz="4" w:space="0"/>
              <w:left w:val="nil"/>
              <w:bottom w:val="single" w:color="auto" w:sz="4" w:space="0"/>
              <w:right w:val="single" w:color="auto" w:sz="4" w:space="0"/>
            </w:tcBorders>
            <w:shd w:val="clear" w:color="auto" w:fill="auto"/>
            <w:vAlign w:val="top"/>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rPr>
              <w:t>1</w:t>
            </w:r>
            <w:r>
              <w:rPr>
                <w:rFonts w:hint="eastAsia" w:asciiTheme="majorEastAsia" w:hAnsiTheme="majorEastAsia" w:eastAsiaTheme="majorEastAsia" w:cstheme="majorEastAsia"/>
                <w:sz w:val="24"/>
                <w:szCs w:val="24"/>
                <w:lang w:val="en-US" w:eastAsia="zh-CN"/>
              </w:rPr>
              <w:t>.痉挛的手指、手腕能逐渐舒展开来，很好的恢复患肢的伸肘伸腕功能，继而是触碰和抓握功能得到显著提升</w:t>
            </w:r>
          </w:p>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2.前臂的旋转功能有所改善，肩关节的某些方向的动作将有变化。</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3.偏瘫侧下肢出现膝关节能够屈曲、抬腿的现象，独立行走能力也将得到更多改善，病人基本的生活自理可实现。</w:t>
            </w:r>
          </w:p>
          <w:p>
            <w:pPr>
              <w:numPr>
                <w:ilvl w:val="0"/>
                <w:numId w:val="0"/>
              </w:numPr>
              <w:ind w:right="0" w:rightChars="0"/>
              <w:rPr>
                <w:rFonts w:hint="default"/>
                <w:lang w:val="en-US" w:eastAsia="zh-CN"/>
              </w:rPr>
            </w:pPr>
            <w:r>
              <w:rPr>
                <w:rFonts w:hint="eastAsia" w:asciiTheme="majorEastAsia" w:hAnsiTheme="majorEastAsia" w:eastAsiaTheme="majorEastAsia" w:cstheme="majorEastAsia"/>
                <w:sz w:val="24"/>
                <w:szCs w:val="24"/>
                <w:lang w:val="en-US" w:eastAsia="zh-CN"/>
              </w:rPr>
              <w:t>4.无张力桥接神经，修复各种原因导致的神经缺损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颅骨接骨板</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钛网150*150mm 厚度0.6mm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中间导引导管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3"/>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国产颅内支持导管，有优异的通过性和支撑力。在复杂血管中轻松达到病变建立稳定通路，方便术者操作，提高手术安全性</w:t>
            </w:r>
          </w:p>
          <w:p>
            <w:pPr>
              <w:numPr>
                <w:ilvl w:val="0"/>
                <w:numId w:val="3"/>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0.070in更大内腔，长度从95cm到135cm，提供更多型号选择，兼容更多器械。</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3.不锈钢编织加镍钛螺旋结构，通过性好，支撑力优秀建立稳定通路，提高手术效率。</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1616"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远端通路导引导管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4"/>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国产远端通路导引导管，可减少多系统同轴操作，操作简便快捷安全</w:t>
            </w:r>
          </w:p>
          <w:p>
            <w:pPr>
              <w:numPr>
                <w:ilvl w:val="0"/>
                <w:numId w:val="4"/>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该产品术中可提供稳定弓部支撑，可上达海绵窦段，建立稳定通路</w:t>
            </w:r>
          </w:p>
          <w:p>
            <w:pPr>
              <w:numPr>
                <w:ilvl w:val="0"/>
                <w:numId w:val="4"/>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0.017in内腔更大，105cm长度能兼容多种手术操作</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5"/>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快速交换型球囊扩张导管，简化操作</w:t>
            </w:r>
          </w:p>
          <w:p>
            <w:pPr>
              <w:numPr>
                <w:ilvl w:val="0"/>
                <w:numId w:val="5"/>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规格型号齐全，直径1.5-4.0mm，长度8-20mm。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S0916-7</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取栓支架（开放卷曲</w:t>
            </w:r>
            <w:r>
              <w:rPr>
                <w:rFonts w:hint="eastAsia" w:asciiTheme="majorEastAsia" w:hAnsiTheme="majorEastAsia" w:eastAsiaTheme="majorEastAsia" w:cstheme="majorEastAsia"/>
                <w:color w:val="auto"/>
                <w:kern w:val="0"/>
                <w:sz w:val="24"/>
                <w:szCs w:val="24"/>
                <w:lang w:val="en-US" w:eastAsia="zh-CN"/>
              </w:rPr>
              <w:t>S型</w:t>
            </w:r>
            <w:r>
              <w:rPr>
                <w:rFonts w:hint="eastAsia" w:asciiTheme="majorEastAsia" w:hAnsiTheme="majorEastAsia" w:eastAsiaTheme="majorEastAsia" w:cstheme="majorEastAsia"/>
                <w:color w:val="auto"/>
                <w:kern w:val="0"/>
                <w:sz w:val="24"/>
                <w:szCs w:val="24"/>
                <w:lang w:val="es-ES" w:eastAsia="zh-CN"/>
              </w:rPr>
              <w:t>）</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6"/>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开放卷曲S型侧边螺旋上升，血栓夹持力强，提高即刻开通率。</w:t>
            </w:r>
          </w:p>
          <w:p>
            <w:pPr>
              <w:numPr>
                <w:ilvl w:val="0"/>
                <w:numId w:val="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国产，直径3/4/5/6mm，长度15/20/25/30mm，更长的1900mm，全系配0.021微导管。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S0916-8</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取栓支架（网篮）</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支架头端设有抓捕篮，防止碎栓逃逸</w:t>
            </w:r>
          </w:p>
          <w:p>
            <w:pPr>
              <w:numPr>
                <w:ilvl w:val="0"/>
                <w:numId w:val="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支架全身显影</w:t>
            </w:r>
          </w:p>
          <w:p>
            <w:pPr>
              <w:numPr>
                <w:ilvl w:val="0"/>
                <w:numId w:val="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全身兼容0.017inch微导管，可进行远端血管取栓</w:t>
            </w:r>
          </w:p>
          <w:p>
            <w:pPr>
              <w:numPr>
                <w:ilvl w:val="0"/>
                <w:numId w:val="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直径3-6mm。长度25/30/35mm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S0916-9</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default"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椎动脉雷帕霉素靶向洗脱支架系统</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8"/>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球囊扩张式药物支架系统，可显著降低椎动脉长期再狭窄、症状复发率与再治疗率</w:t>
            </w:r>
          </w:p>
          <w:p>
            <w:pPr>
              <w:numPr>
                <w:ilvl w:val="0"/>
                <w:numId w:val="8"/>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L605钴基合金材料，药物涂层为雷帕霉素，刻槽载药</w:t>
            </w:r>
          </w:p>
          <w:p>
            <w:pPr>
              <w:numPr>
                <w:ilvl w:val="0"/>
                <w:numId w:val="8"/>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输送系统为快递交换式球囊扩张到管，支架直径为2.25-4.0mm，长度13/16/18/21/23，最小匹配5F导管释放。</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S0916-10</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9"/>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快速交换型球囊扩张导管，简化操作；155cm输送杆兼容所有中间导管</w:t>
            </w:r>
          </w:p>
          <w:p>
            <w:pPr>
              <w:numPr>
                <w:ilvl w:val="0"/>
                <w:numId w:val="9"/>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规格型号齐全，最小直径1.0mm，最大直径5.0mm，包括半号球囊1.25mm，1.75mm等；球囊最大长度30mm，可满足特殊病变需求。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封堵球囊导管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0"/>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临时阻断血流，提高取栓效率和安全性，减免血栓逃逸几率，缩短手术时间，提高患者预后</w:t>
            </w:r>
          </w:p>
          <w:p>
            <w:pPr>
              <w:numPr>
                <w:ilvl w:val="0"/>
                <w:numId w:val="10"/>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大内腔能兼容6F中间导管，建立更大内腔通路，长度85/95cm</w:t>
            </w:r>
          </w:p>
          <w:p>
            <w:pPr>
              <w:numPr>
                <w:ilvl w:val="0"/>
                <w:numId w:val="10"/>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国产球囊导引导管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1"/>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不透射线硅胶管</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浸渍药物：两种抗生素利福平和盐酸克林霉素</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尺寸：内径1.9mm 外径3.4mm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硅胶假体</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适用于鼻、下颌、乳房手术，植入稳定，不产生排斥，不易感染移位。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一次性使用无菌注射针</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适配深圳市中科微光医疗器械技术有限公司生产的：面部皮肤泵 型号：Skin 2 Skin Med</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一次性使用旋转型活体取样钳</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适用于手术中在内窥镜下操作，用于钳取组织，直径1.8/2.3mm，长度1000/1200/1600/1900/2300mm。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一次性使用内镜消化道粘膜下填充剂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独立包装，100ml/支，预充式设计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醋酸黏膜染色剂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独立包装，100ml/支，预充式设计，灭菌包装，一次性使用。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亚甲蓝黏膜染色剂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独立包装，100ml/支，预充式设计，灭菌包装，一次性使用。亚甲蓝浓度不小于0.3%。</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碘黏膜染色剂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独立包装，100ml/支，预充式设计，灭菌包装，一次性使用外包装避光密封。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靛胭脂黏膜染色剂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独立包装，100ml/支，预充式设计，灭菌包装，一次性使用外包装避光密封。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可吸收钉修补固定器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有效固定补片，减少患者体内异物残留，满足多种手术需要。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可吸收结扎夹</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1.在病人体内180天可以完全降解吸收，无残留</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2.有良好的夹闭功能，夹持力不低于2N，植入3周可提供安全可靠的结扎</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3.不引起不良刺激，不致敏，无伪影不影响影像医学观察。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可崩解肠道吻合器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4周内可自动崩解并排出体外，保护远端吻合口，避免人工肛门及二次还纳术，适合腹腔镜下手术，能在X线或CT检查中显影。</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伤口负压引流瓶系统及附件</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真空瓶，引流管接头可变</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双重关闭夹：防止引流物逆行，防止伤口感染</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瓶身，刻度精准瓶底带微量刻度，最小测量值为10ml，内凹设计方便握持</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穿刺钢针;管腔耐高压，不变形，不塌陷，不透X光，便于观察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肠梗阻导管套件</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经鼻型，经肛型两种型号</w:t>
            </w:r>
          </w:p>
          <w:p>
            <w:pPr>
              <w:numPr>
                <w:ilvl w:val="0"/>
                <w:numId w:val="1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管体柔软且具有良好的生物相容性，过敏反应少</w:t>
            </w:r>
          </w:p>
          <w:p>
            <w:pPr>
              <w:numPr>
                <w:ilvl w:val="0"/>
                <w:numId w:val="1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导管直径有16Fr和18Fr两个型号，适用不同患者</w:t>
            </w:r>
          </w:p>
          <w:p>
            <w:pPr>
              <w:numPr>
                <w:ilvl w:val="0"/>
                <w:numId w:val="1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导管测孔大，引流充分，不易堵塞</w:t>
            </w:r>
          </w:p>
          <w:p>
            <w:pPr>
              <w:numPr>
                <w:ilvl w:val="0"/>
                <w:numId w:val="1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套件中配置导丝。</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造口袋</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可塑免裁剪型造口底盘</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免裁剪可以让年纪大的老人自己操作，同时保护</w:t>
            </w:r>
            <w:r>
              <w:rPr>
                <w:rFonts w:hint="eastAsia" w:asciiTheme="majorEastAsia" w:hAnsiTheme="majorEastAsia" w:eastAsiaTheme="majorEastAsia" w:cstheme="majorEastAsia"/>
                <w:sz w:val="24"/>
                <w:szCs w:val="24"/>
                <w:lang w:eastAsia="zh-CN"/>
              </w:rPr>
              <w:t>患者</w:t>
            </w:r>
            <w:r>
              <w:rPr>
                <w:rFonts w:hint="eastAsia" w:asciiTheme="majorEastAsia" w:hAnsiTheme="majorEastAsia" w:eastAsiaTheme="majorEastAsia" w:cstheme="majorEastAsia"/>
                <w:sz w:val="24"/>
                <w:szCs w:val="24"/>
              </w:rPr>
              <w:t>隐私。</w:t>
            </w:r>
          </w:p>
          <w:p>
            <w:pPr>
              <w:numPr>
                <w:ilvl w:val="0"/>
                <w:numId w:val="14"/>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可塑免裁剪造口产品</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能轻柔</w:t>
            </w:r>
            <w:r>
              <w:rPr>
                <w:rFonts w:hint="eastAsia" w:asciiTheme="majorEastAsia" w:hAnsiTheme="majorEastAsia" w:eastAsiaTheme="majorEastAsia" w:cstheme="majorEastAsia"/>
                <w:sz w:val="24"/>
                <w:szCs w:val="24"/>
              </w:rPr>
              <w:t>紧密的包裹造口周围</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w:t>
            </w:r>
            <w:r>
              <w:rPr>
                <w:rFonts w:hint="eastAsia" w:asciiTheme="majorEastAsia" w:hAnsiTheme="majorEastAsia" w:eastAsiaTheme="majorEastAsia" w:cstheme="majorEastAsia"/>
                <w:sz w:val="24"/>
                <w:szCs w:val="24"/>
              </w:rPr>
              <w:t>降低漏的发生，减少其他附件类产品的使用，降低科室耗材占比，减轻患者经济负担</w:t>
            </w:r>
            <w:r>
              <w:rPr>
                <w:rFonts w:hint="eastAsia" w:asciiTheme="majorEastAsia" w:hAnsiTheme="majorEastAsia" w:eastAsiaTheme="majorEastAsia" w:cstheme="majorEastAsia"/>
                <w:sz w:val="24"/>
                <w:szCs w:val="24"/>
                <w:lang w:eastAsia="zh-CN"/>
              </w:rPr>
              <w:t>。</w:t>
            </w:r>
          </w:p>
          <w:p>
            <w:pPr>
              <w:numPr>
                <w:ilvl w:val="0"/>
                <w:numId w:val="14"/>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需要多种型号的产品：根据患者造口的特点及恢复情况需要平面、凸面的底盘，凸面底盘还需要配合腰带。根据患者造口恢复情况底盘大小：需要最少两种型号一般</w:t>
            </w:r>
            <w:r>
              <w:rPr>
                <w:rFonts w:hint="eastAsia" w:asciiTheme="majorEastAsia" w:hAnsiTheme="majorEastAsia" w:eastAsiaTheme="majorEastAsia" w:cstheme="majorEastAsia"/>
                <w:sz w:val="24"/>
                <w:szCs w:val="24"/>
                <w:lang w:val="en-US" w:eastAsia="zh-CN"/>
              </w:rPr>
              <w:t>60mm和70mm直径的</w:t>
            </w:r>
            <w:r>
              <w:rPr>
                <w:rFonts w:hint="eastAsia" w:asciiTheme="majorEastAsia" w:hAnsiTheme="majorEastAsia" w:eastAsiaTheme="majorEastAsia" w:cstheme="majorEastAsia"/>
                <w:sz w:val="24"/>
                <w:szCs w:val="24"/>
                <w:lang w:eastAsia="zh-CN"/>
              </w:rPr>
              <w:t>。</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n-US" w:eastAsia="zh-CN"/>
              </w:rPr>
              <w:t>W0919-7</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kern w:val="0"/>
                <w:sz w:val="24"/>
                <w:szCs w:val="24"/>
                <w:lang w:val="en-US" w:eastAsia="zh-CN" w:bidi="zh-CN"/>
              </w:rPr>
            </w:pPr>
            <w:r>
              <w:rPr>
                <w:rFonts w:hint="eastAsia" w:asciiTheme="majorEastAsia" w:hAnsiTheme="majorEastAsia" w:eastAsiaTheme="majorEastAsia" w:cstheme="majorEastAsia"/>
                <w:color w:val="auto"/>
                <w:kern w:val="0"/>
                <w:sz w:val="24"/>
                <w:szCs w:val="24"/>
                <w:lang w:val="es-ES" w:eastAsia="zh-CN"/>
              </w:rPr>
              <w:t>一次性使用多功能手术解剖器（消融电极）</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5"/>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多种刀头，长度，相互配合，满足腔镜下手术，具备同步吸烟功能，可调节大小，能瞬间吸除烟雾，避免烟雾弥散影响手术视野；</w:t>
            </w:r>
          </w:p>
          <w:p>
            <w:pPr>
              <w:numPr>
                <w:ilvl w:val="0"/>
                <w:numId w:val="15"/>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兼具吸烟，吸液，刮扒、电切、电凝五种功能刀头能伸缩80mm以上，360度旋转，满足不同部位的深浅部手术需求；</w:t>
            </w:r>
          </w:p>
          <w:p>
            <w:pPr>
              <w:numPr>
                <w:ilvl w:val="0"/>
                <w:numId w:val="15"/>
              </w:numPr>
              <w:ind w:left="0" w:leftChars="0" w:right="0" w:rightChars="0"/>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双极镊子兼具切割和止血功能，精细化解剖组织和神经，止血确切，有效保护甲状旁腺和喉反神经等重要物质和神经。甲状腺全切除手术中可切割甲状腺组织并有效保护甲状旁腺和周围重要神经减少组织的损伤，淋巴清扫中可以做到术中快速切割、止血确切，无黏连。</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Y0909-1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眼科激光光纤</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适配现有设备：半导体眼内激光治疗仪</w:t>
            </w:r>
            <w:r>
              <w:rPr>
                <w:rFonts w:hint="eastAsia" w:asciiTheme="majorEastAsia" w:hAnsiTheme="majorEastAsia" w:eastAsiaTheme="majorEastAsia" w:cstheme="majorEastAsia"/>
                <w:sz w:val="24"/>
                <w:szCs w:val="24"/>
                <w:lang w:val="en-US" w:eastAsia="zh-CN"/>
              </w:rPr>
              <w:t xml:space="preserve"> 型号：美国-GL,可重复消毒使用。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L0919-1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加热呼吸管路</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适配沈阳迈思医疗科技有限公司</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高流量呼吸湿化治疗仪</w:t>
            </w:r>
            <w:r>
              <w:rPr>
                <w:rFonts w:hint="eastAsia" w:asciiTheme="majorEastAsia" w:hAnsiTheme="majorEastAsia" w:eastAsiaTheme="majorEastAsia" w:cstheme="majorEastAsia"/>
                <w:sz w:val="24"/>
                <w:szCs w:val="24"/>
                <w:lang w:val="en-US" w:eastAsia="zh-CN"/>
              </w:rPr>
              <w:t xml:space="preserve"> 型号：HUMID-BH自动控氧型  </w:t>
            </w:r>
          </w:p>
        </w:tc>
      </w:tr>
    </w:tbl>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bookmarkStart w:id="0" w:name="_GoBack"/>
      <w:bookmarkEnd w:id="0"/>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4"/>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7"/>
              <w:spacing w:before="17"/>
              <w:ind w:left="12"/>
              <w:jc w:val="center"/>
              <w:rPr>
                <w:rFonts w:hint="eastAsia" w:ascii="宋体" w:eastAsia="宋体"/>
                <w:b/>
                <w:sz w:val="24"/>
              </w:rPr>
            </w:pPr>
            <w:r>
              <w:rPr>
                <w:rFonts w:hint="eastAsia" w:ascii="宋体" w:eastAsia="宋体"/>
                <w:b/>
                <w:sz w:val="24"/>
              </w:rPr>
              <w:t>耗材名称</w:t>
            </w:r>
          </w:p>
          <w:p>
            <w:pPr>
              <w:pStyle w:val="7"/>
              <w:spacing w:before="192"/>
              <w:ind w:left="12"/>
              <w:jc w:val="center"/>
              <w:rPr>
                <w:rFonts w:hint="eastAsia" w:ascii="宋体" w:eastAsia="宋体"/>
                <w:b/>
                <w:sz w:val="24"/>
              </w:rPr>
            </w:pPr>
            <w:r>
              <w:rPr>
                <w:rFonts w:hint="eastAsia" w:ascii="宋体" w:eastAsia="宋体"/>
                <w:b/>
                <w:sz w:val="18"/>
              </w:rPr>
              <w:t>（注册证名称）</w:t>
            </w:r>
          </w:p>
        </w:tc>
        <w:tc>
          <w:tcPr>
            <w:tcW w:w="1437" w:type="dxa"/>
          </w:tcPr>
          <w:p>
            <w:pPr>
              <w:pStyle w:val="7"/>
              <w:spacing w:before="17"/>
              <w:ind w:left="12"/>
              <w:jc w:val="center"/>
              <w:rPr>
                <w:rFonts w:hint="eastAsia" w:ascii="宋体" w:eastAsia="宋体"/>
                <w:b/>
                <w:sz w:val="24"/>
              </w:rPr>
            </w:pPr>
          </w:p>
        </w:tc>
        <w:tc>
          <w:tcPr>
            <w:tcW w:w="818" w:type="dxa"/>
          </w:tcPr>
          <w:p>
            <w:pPr>
              <w:pStyle w:val="7"/>
              <w:spacing w:before="17"/>
              <w:ind w:left="12"/>
              <w:jc w:val="center"/>
              <w:rPr>
                <w:rFonts w:hint="eastAsia" w:ascii="宋体" w:eastAsia="宋体"/>
                <w:b/>
                <w:sz w:val="24"/>
              </w:rPr>
            </w:pPr>
          </w:p>
          <w:p>
            <w:pPr>
              <w:pStyle w:val="7"/>
              <w:spacing w:before="17"/>
              <w:ind w:left="12"/>
              <w:jc w:val="center"/>
              <w:rPr>
                <w:rFonts w:hint="eastAsia" w:ascii="宋体" w:eastAsia="宋体"/>
                <w:b/>
                <w:sz w:val="24"/>
              </w:rPr>
            </w:pPr>
            <w:r>
              <w:rPr>
                <w:rFonts w:hint="eastAsia" w:ascii="宋体" w:eastAsia="宋体"/>
                <w:b/>
                <w:sz w:val="24"/>
              </w:rPr>
              <w:t>品牌</w:t>
            </w:r>
          </w:p>
        </w:tc>
        <w:tc>
          <w:tcPr>
            <w:tcW w:w="996" w:type="dxa"/>
          </w:tcPr>
          <w:p>
            <w:pPr>
              <w:pStyle w:val="7"/>
              <w:rPr>
                <w:rFonts w:ascii="Times New Roman"/>
                <w:sz w:val="20"/>
              </w:rPr>
            </w:pPr>
          </w:p>
        </w:tc>
        <w:tc>
          <w:tcPr>
            <w:tcW w:w="1527" w:type="dxa"/>
          </w:tcPr>
          <w:p>
            <w:pPr>
              <w:pStyle w:val="7"/>
              <w:spacing w:before="192"/>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7"/>
              <w:spacing w:before="32"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7"/>
              <w:spacing w:before="32" w:line="303" w:lineRule="exact"/>
              <w:ind w:left="464"/>
              <w:rPr>
                <w:rFonts w:hint="eastAsia" w:ascii="宋体" w:eastAsia="宋体"/>
                <w:b/>
                <w:sz w:val="24"/>
              </w:rPr>
            </w:pPr>
            <w:r>
              <w:rPr>
                <w:rFonts w:hint="eastAsia" w:ascii="宋体" w:eastAsia="宋体"/>
                <w:b/>
                <w:sz w:val="24"/>
              </w:rPr>
              <w:t>页码</w:t>
            </w:r>
          </w:p>
        </w:tc>
        <w:tc>
          <w:tcPr>
            <w:tcW w:w="2550" w:type="dxa"/>
          </w:tcPr>
          <w:p>
            <w:pPr>
              <w:pStyle w:val="7"/>
              <w:spacing w:before="32"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7"/>
              <w:spacing w:before="58"/>
              <w:ind w:left="20"/>
              <w:rPr>
                <w:rFonts w:hint="eastAsia" w:ascii="宋体" w:eastAsia="宋体"/>
                <w:sz w:val="20"/>
              </w:rPr>
            </w:pPr>
            <w:r>
              <w:rPr>
                <w:rFonts w:hint="eastAsia" w:ascii="宋体" w:eastAsia="宋体"/>
                <w:sz w:val="20"/>
              </w:rPr>
              <w:t>复印件均加盖公章</w:t>
            </w:r>
          </w:p>
        </w:tc>
        <w:tc>
          <w:tcPr>
            <w:tcW w:w="1527" w:type="dxa"/>
          </w:tcPr>
          <w:p>
            <w:pPr>
              <w:pStyle w:val="7"/>
              <w:spacing w:before="18"/>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7"/>
              <w:tabs>
                <w:tab w:val="left" w:pos="696"/>
              </w:tabs>
              <w:spacing w:before="18"/>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jc w:val="center"/>
              <w:rPr>
                <w:sz w:val="2"/>
                <w:szCs w:val="2"/>
              </w:rPr>
            </w:pPr>
            <w:r>
              <w:rPr>
                <w:rFonts w:hint="eastAsia" w:ascii="宋体" w:eastAsia="宋体"/>
                <w:sz w:val="24"/>
              </w:rPr>
              <w:t>报名信息</w:t>
            </w:r>
          </w:p>
        </w:tc>
        <w:tc>
          <w:tcPr>
            <w:tcW w:w="3251" w:type="dxa"/>
            <w:gridSpan w:val="3"/>
          </w:tcPr>
          <w:p>
            <w:pPr>
              <w:pStyle w:val="7"/>
              <w:spacing w:before="57"/>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rPr>
                <w:sz w:val="2"/>
                <w:szCs w:val="2"/>
              </w:rPr>
            </w:pPr>
          </w:p>
        </w:tc>
        <w:tc>
          <w:tcPr>
            <w:tcW w:w="2550" w:type="dxa"/>
            <w:vMerge w:val="restart"/>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7"/>
              <w:spacing w:before="58"/>
              <w:ind w:left="20"/>
              <w:rPr>
                <w:rFonts w:hint="eastAsia" w:ascii="宋体" w:eastAsia="宋体"/>
                <w:sz w:val="20"/>
              </w:rPr>
            </w:pPr>
            <w:r>
              <w:rPr>
                <w:rFonts w:hint="eastAsia" w:ascii="宋体" w:eastAsia="宋体"/>
                <w:sz w:val="20"/>
              </w:rPr>
              <w:t>注册证</w:t>
            </w:r>
          </w:p>
        </w:tc>
        <w:tc>
          <w:tcPr>
            <w:tcW w:w="1527" w:type="dxa"/>
          </w:tcPr>
          <w:p>
            <w:pPr>
              <w:pStyle w:val="7"/>
              <w:jc w:val="center"/>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注册证附表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非医疗器械依据</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医疗器械生产许可证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医疗器械生产产品登记表（国产）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7"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医疗器械经营许可证/备案凭证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1"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制造商授权书（两票）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1"/>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业务员法人授权书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法定代表人居民身份证复印件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被授权人居民身份证复印件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rPr>
                <w:rFonts w:ascii="宋体"/>
                <w:b/>
                <w:sz w:val="24"/>
              </w:rPr>
            </w:pPr>
          </w:p>
          <w:p>
            <w:pPr>
              <w:pStyle w:val="7"/>
              <w:spacing w:before="3"/>
              <w:rPr>
                <w:rFonts w:ascii="宋体"/>
                <w:b/>
                <w:sz w:val="21"/>
              </w:rPr>
            </w:pPr>
          </w:p>
          <w:p>
            <w:pPr>
              <w:pStyle w:val="7"/>
              <w:ind w:left="174"/>
              <w:rPr>
                <w:rFonts w:hint="eastAsia" w:ascii="宋体" w:eastAsia="宋体"/>
                <w:sz w:val="24"/>
              </w:rPr>
            </w:pPr>
            <w:r>
              <w:rPr>
                <w:rFonts w:hint="eastAsia" w:ascii="宋体" w:eastAsia="宋体"/>
                <w:sz w:val="24"/>
              </w:rPr>
              <w:t>耗材信息</w:t>
            </w:r>
          </w:p>
        </w:tc>
        <w:tc>
          <w:tcPr>
            <w:tcW w:w="3251" w:type="dxa"/>
            <w:gridSpan w:val="3"/>
          </w:tcPr>
          <w:p>
            <w:pPr>
              <w:pStyle w:val="7"/>
              <w:spacing w:before="58"/>
              <w:ind w:left="20"/>
              <w:rPr>
                <w:rFonts w:hint="eastAsia" w:ascii="宋体" w:eastAsia="宋体"/>
                <w:sz w:val="20"/>
              </w:rPr>
            </w:pPr>
            <w:r>
              <w:rPr>
                <w:rFonts w:hint="eastAsia" w:ascii="宋体" w:eastAsia="宋体"/>
                <w:sz w:val="20"/>
              </w:rPr>
              <w:t>规格型号</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技术参数</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配置清单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产品说明书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8"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7"/>
              <w:spacing w:before="57"/>
              <w:ind w:left="20"/>
              <w:rPr>
                <w:rFonts w:hint="eastAsia" w:ascii="宋体" w:eastAsia="宋体"/>
                <w:sz w:val="20"/>
              </w:rPr>
            </w:pPr>
            <w:r>
              <w:rPr>
                <w:rFonts w:hint="eastAsia" w:ascii="宋体" w:eastAsia="宋体"/>
                <w:sz w:val="20"/>
              </w:rPr>
              <w:t>平台文件（京津冀/江苏六大类）</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7"/>
              <w:spacing w:before="26"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7"/>
              <w:spacing w:before="45"/>
              <w:ind w:left="20"/>
              <w:rPr>
                <w:rFonts w:hint="eastAsia" w:ascii="宋体" w:eastAsia="宋体"/>
                <w:sz w:val="20"/>
              </w:rPr>
            </w:pPr>
            <w:r>
              <w:rPr>
                <w:rFonts w:hint="eastAsia" w:ascii="宋体" w:eastAsia="宋体"/>
                <w:sz w:val="20"/>
              </w:rPr>
              <w:t>三级甲等医院用户名单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44"/>
              <w:ind w:left="20"/>
              <w:rPr>
                <w:rFonts w:hint="eastAsia" w:ascii="宋体" w:eastAsia="宋体"/>
                <w:sz w:val="20"/>
              </w:rPr>
            </w:pPr>
            <w:r>
              <w:rPr>
                <w:rFonts w:hint="eastAsia" w:ascii="宋体" w:eastAsia="宋体"/>
                <w:sz w:val="20"/>
              </w:rPr>
              <w:t>彩页</w:t>
            </w:r>
          </w:p>
        </w:tc>
        <w:tc>
          <w:tcPr>
            <w:tcW w:w="1527" w:type="dxa"/>
          </w:tcPr>
          <w:p>
            <w:pPr>
              <w:pStyle w:val="7"/>
              <w:rPr>
                <w:rFonts w:ascii="Times New Roman"/>
                <w:sz w:val="20"/>
              </w:rPr>
            </w:pPr>
          </w:p>
        </w:tc>
        <w:tc>
          <w:tcPr>
            <w:tcW w:w="2550" w:type="dxa"/>
          </w:tcPr>
          <w:p>
            <w:pPr>
              <w:pStyle w:val="7"/>
              <w:rPr>
                <w:rFonts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4"/>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4"/>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0"/>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95361"/>
    <w:multiLevelType w:val="singleLevel"/>
    <w:tmpl w:val="8A595361"/>
    <w:lvl w:ilvl="0" w:tentative="0">
      <w:start w:val="1"/>
      <w:numFmt w:val="decimal"/>
      <w:lvlText w:val="%1."/>
      <w:lvlJc w:val="left"/>
      <w:pPr>
        <w:tabs>
          <w:tab w:val="left" w:pos="312"/>
        </w:tabs>
      </w:pPr>
    </w:lvl>
  </w:abstractNum>
  <w:abstractNum w:abstractNumId="1">
    <w:nsid w:val="8F515CF4"/>
    <w:multiLevelType w:val="singleLevel"/>
    <w:tmpl w:val="8F515CF4"/>
    <w:lvl w:ilvl="0" w:tentative="0">
      <w:start w:val="1"/>
      <w:numFmt w:val="decimal"/>
      <w:lvlText w:val="%1."/>
      <w:lvlJc w:val="left"/>
      <w:pPr>
        <w:tabs>
          <w:tab w:val="left" w:pos="312"/>
        </w:tabs>
      </w:pPr>
    </w:lvl>
  </w:abstractNum>
  <w:abstractNum w:abstractNumId="2">
    <w:nsid w:val="91DFD440"/>
    <w:multiLevelType w:val="singleLevel"/>
    <w:tmpl w:val="91DFD440"/>
    <w:lvl w:ilvl="0" w:tentative="0">
      <w:start w:val="1"/>
      <w:numFmt w:val="decimal"/>
      <w:lvlText w:val="%1."/>
      <w:lvlJc w:val="left"/>
      <w:pPr>
        <w:tabs>
          <w:tab w:val="left" w:pos="312"/>
        </w:tabs>
      </w:pPr>
    </w:lvl>
  </w:abstractNum>
  <w:abstractNum w:abstractNumId="3">
    <w:nsid w:val="966BC10D"/>
    <w:multiLevelType w:val="singleLevel"/>
    <w:tmpl w:val="966BC10D"/>
    <w:lvl w:ilvl="0" w:tentative="0">
      <w:start w:val="1"/>
      <w:numFmt w:val="decimal"/>
      <w:lvlText w:val="%1."/>
      <w:lvlJc w:val="left"/>
      <w:pPr>
        <w:tabs>
          <w:tab w:val="left" w:pos="312"/>
        </w:tabs>
      </w:pPr>
    </w:lvl>
  </w:abstractNum>
  <w:abstractNum w:abstractNumId="4">
    <w:nsid w:val="9B796E82"/>
    <w:multiLevelType w:val="singleLevel"/>
    <w:tmpl w:val="9B796E82"/>
    <w:lvl w:ilvl="0" w:tentative="0">
      <w:start w:val="1"/>
      <w:numFmt w:val="decimal"/>
      <w:lvlText w:val="%1."/>
      <w:lvlJc w:val="left"/>
      <w:pPr>
        <w:tabs>
          <w:tab w:val="left" w:pos="312"/>
        </w:tabs>
      </w:pPr>
    </w:lvl>
  </w:abstractNum>
  <w:abstractNum w:abstractNumId="5">
    <w:nsid w:val="AF3F24B3"/>
    <w:multiLevelType w:val="singleLevel"/>
    <w:tmpl w:val="AF3F24B3"/>
    <w:lvl w:ilvl="0" w:tentative="0">
      <w:start w:val="1"/>
      <w:numFmt w:val="decimal"/>
      <w:lvlText w:val="%1."/>
      <w:lvlJc w:val="left"/>
      <w:pPr>
        <w:tabs>
          <w:tab w:val="left" w:pos="312"/>
        </w:tabs>
      </w:pPr>
    </w:lvl>
  </w:abstractNum>
  <w:abstractNum w:abstractNumId="6">
    <w:nsid w:val="01F2D8C1"/>
    <w:multiLevelType w:val="singleLevel"/>
    <w:tmpl w:val="01F2D8C1"/>
    <w:lvl w:ilvl="0" w:tentative="0">
      <w:start w:val="1"/>
      <w:numFmt w:val="decimal"/>
      <w:lvlText w:val="%1."/>
      <w:lvlJc w:val="left"/>
      <w:pPr>
        <w:tabs>
          <w:tab w:val="left" w:pos="312"/>
        </w:tabs>
      </w:pPr>
    </w:lvl>
  </w:abstractNum>
  <w:abstractNum w:abstractNumId="7">
    <w:nsid w:val="176F1022"/>
    <w:multiLevelType w:val="singleLevel"/>
    <w:tmpl w:val="176F1022"/>
    <w:lvl w:ilvl="0" w:tentative="0">
      <w:start w:val="1"/>
      <w:numFmt w:val="decimal"/>
      <w:lvlText w:val="%1."/>
      <w:lvlJc w:val="left"/>
      <w:pPr>
        <w:tabs>
          <w:tab w:val="left" w:pos="312"/>
        </w:tabs>
      </w:pPr>
    </w:lvl>
  </w:abstractNum>
  <w:abstractNum w:abstractNumId="8">
    <w:nsid w:val="25B86C7C"/>
    <w:multiLevelType w:val="singleLevel"/>
    <w:tmpl w:val="25B86C7C"/>
    <w:lvl w:ilvl="0" w:tentative="0">
      <w:start w:val="1"/>
      <w:numFmt w:val="decimal"/>
      <w:lvlText w:val="%1."/>
      <w:lvlJc w:val="left"/>
      <w:pPr>
        <w:tabs>
          <w:tab w:val="left" w:pos="312"/>
        </w:tabs>
      </w:pPr>
    </w:lvl>
  </w:abstractNum>
  <w:abstractNum w:abstractNumId="9">
    <w:nsid w:val="273F00F4"/>
    <w:multiLevelType w:val="singleLevel"/>
    <w:tmpl w:val="273F00F4"/>
    <w:lvl w:ilvl="0" w:tentative="0">
      <w:start w:val="1"/>
      <w:numFmt w:val="decimal"/>
      <w:lvlText w:val="%1."/>
      <w:lvlJc w:val="left"/>
      <w:pPr>
        <w:tabs>
          <w:tab w:val="left" w:pos="312"/>
        </w:tabs>
      </w:pPr>
    </w:lvl>
  </w:abstractNum>
  <w:abstractNum w:abstractNumId="10">
    <w:nsid w:val="3780E604"/>
    <w:multiLevelType w:val="singleLevel"/>
    <w:tmpl w:val="3780E604"/>
    <w:lvl w:ilvl="0" w:tentative="0">
      <w:start w:val="1"/>
      <w:numFmt w:val="decimal"/>
      <w:lvlText w:val="%1."/>
      <w:lvlJc w:val="left"/>
      <w:pPr>
        <w:tabs>
          <w:tab w:val="left" w:pos="312"/>
        </w:tabs>
      </w:pPr>
    </w:lvl>
  </w:abstractNum>
  <w:abstractNum w:abstractNumId="11">
    <w:nsid w:val="40C0AFBC"/>
    <w:multiLevelType w:val="singleLevel"/>
    <w:tmpl w:val="40C0AFBC"/>
    <w:lvl w:ilvl="0" w:tentative="0">
      <w:start w:val="2"/>
      <w:numFmt w:val="decimal"/>
      <w:lvlText w:val="%1."/>
      <w:lvlJc w:val="left"/>
      <w:pPr>
        <w:tabs>
          <w:tab w:val="left" w:pos="312"/>
        </w:tabs>
      </w:pPr>
    </w:lvl>
  </w:abstractNum>
  <w:abstractNum w:abstractNumId="12">
    <w:nsid w:val="41001726"/>
    <w:multiLevelType w:val="singleLevel"/>
    <w:tmpl w:val="41001726"/>
    <w:lvl w:ilvl="0" w:tentative="0">
      <w:start w:val="1"/>
      <w:numFmt w:val="decimal"/>
      <w:lvlText w:val="%1."/>
      <w:lvlJc w:val="left"/>
      <w:pPr>
        <w:tabs>
          <w:tab w:val="left" w:pos="312"/>
        </w:tabs>
      </w:pPr>
    </w:lvl>
  </w:abstractNum>
  <w:abstractNum w:abstractNumId="13">
    <w:nsid w:val="74B6AA0A"/>
    <w:multiLevelType w:val="singleLevel"/>
    <w:tmpl w:val="74B6AA0A"/>
    <w:lvl w:ilvl="0" w:tentative="0">
      <w:start w:val="1"/>
      <w:numFmt w:val="decimal"/>
      <w:lvlText w:val="%1."/>
      <w:lvlJc w:val="left"/>
      <w:pPr>
        <w:tabs>
          <w:tab w:val="left" w:pos="312"/>
        </w:tabs>
      </w:pPr>
    </w:lvl>
  </w:abstractNum>
  <w:abstractNum w:abstractNumId="14">
    <w:nsid w:val="7BCA190B"/>
    <w:multiLevelType w:val="singleLevel"/>
    <w:tmpl w:val="7BCA190B"/>
    <w:lvl w:ilvl="0" w:tentative="0">
      <w:start w:val="1"/>
      <w:numFmt w:val="decimal"/>
      <w:lvlText w:val="%1."/>
      <w:lvlJc w:val="left"/>
      <w:pPr>
        <w:tabs>
          <w:tab w:val="left" w:pos="312"/>
        </w:tabs>
      </w:pPr>
    </w:lvl>
  </w:abstractNum>
  <w:num w:numId="1">
    <w:abstractNumId w:val="11"/>
  </w:num>
  <w:num w:numId="2">
    <w:abstractNumId w:val="10"/>
  </w:num>
  <w:num w:numId="3">
    <w:abstractNumId w:val="14"/>
  </w:num>
  <w:num w:numId="4">
    <w:abstractNumId w:val="0"/>
  </w:num>
  <w:num w:numId="5">
    <w:abstractNumId w:val="4"/>
  </w:num>
  <w:num w:numId="6">
    <w:abstractNumId w:val="8"/>
  </w:num>
  <w:num w:numId="7">
    <w:abstractNumId w:val="3"/>
  </w:num>
  <w:num w:numId="8">
    <w:abstractNumId w:val="1"/>
  </w:num>
  <w:num w:numId="9">
    <w:abstractNumId w:val="13"/>
  </w:num>
  <w:num w:numId="10">
    <w:abstractNumId w:val="2"/>
  </w:num>
  <w:num w:numId="11">
    <w:abstractNumId w:val="9"/>
  </w:num>
  <w:num w:numId="12">
    <w:abstractNumId w:val="6"/>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763BCE"/>
    <w:rsid w:val="02AD7AC3"/>
    <w:rsid w:val="03E9018B"/>
    <w:rsid w:val="05820C6C"/>
    <w:rsid w:val="072F54F3"/>
    <w:rsid w:val="083E4D1A"/>
    <w:rsid w:val="08DD0238"/>
    <w:rsid w:val="0AF23140"/>
    <w:rsid w:val="0B7F2E6D"/>
    <w:rsid w:val="0BFE4EEC"/>
    <w:rsid w:val="0C9A3DEB"/>
    <w:rsid w:val="0D8C4BF5"/>
    <w:rsid w:val="0DB52EF3"/>
    <w:rsid w:val="103C27CE"/>
    <w:rsid w:val="113B1A46"/>
    <w:rsid w:val="11991D14"/>
    <w:rsid w:val="127D7927"/>
    <w:rsid w:val="13525B1D"/>
    <w:rsid w:val="1356385F"/>
    <w:rsid w:val="13A445CA"/>
    <w:rsid w:val="13E62E35"/>
    <w:rsid w:val="14084E41"/>
    <w:rsid w:val="14B720DC"/>
    <w:rsid w:val="15434B22"/>
    <w:rsid w:val="157A2EC7"/>
    <w:rsid w:val="16290DB7"/>
    <w:rsid w:val="169C7635"/>
    <w:rsid w:val="174F2D26"/>
    <w:rsid w:val="184F5194"/>
    <w:rsid w:val="19A406B7"/>
    <w:rsid w:val="1A564145"/>
    <w:rsid w:val="1A7F2DB5"/>
    <w:rsid w:val="1B34092A"/>
    <w:rsid w:val="1CC406E9"/>
    <w:rsid w:val="1E166EEC"/>
    <w:rsid w:val="1E1C3531"/>
    <w:rsid w:val="1EA307B4"/>
    <w:rsid w:val="1F8654CC"/>
    <w:rsid w:val="1FDE2C12"/>
    <w:rsid w:val="1FED72F9"/>
    <w:rsid w:val="21FF5741"/>
    <w:rsid w:val="224B2C26"/>
    <w:rsid w:val="239A78B3"/>
    <w:rsid w:val="24093ADF"/>
    <w:rsid w:val="24397395"/>
    <w:rsid w:val="25CC2C1A"/>
    <w:rsid w:val="27642267"/>
    <w:rsid w:val="285B737A"/>
    <w:rsid w:val="28952AF8"/>
    <w:rsid w:val="29212057"/>
    <w:rsid w:val="29336C7B"/>
    <w:rsid w:val="2AD102EC"/>
    <w:rsid w:val="2B406E77"/>
    <w:rsid w:val="2B4F698B"/>
    <w:rsid w:val="2BA45ABD"/>
    <w:rsid w:val="2BAE2033"/>
    <w:rsid w:val="2C255518"/>
    <w:rsid w:val="2DAC0A15"/>
    <w:rsid w:val="2E14537F"/>
    <w:rsid w:val="2E366A85"/>
    <w:rsid w:val="2FF130FC"/>
    <w:rsid w:val="302E2353"/>
    <w:rsid w:val="304A7E50"/>
    <w:rsid w:val="308819B0"/>
    <w:rsid w:val="308B5380"/>
    <w:rsid w:val="31F9354C"/>
    <w:rsid w:val="33840509"/>
    <w:rsid w:val="33CA5530"/>
    <w:rsid w:val="352D221A"/>
    <w:rsid w:val="3573634B"/>
    <w:rsid w:val="35EB3E83"/>
    <w:rsid w:val="36B67FED"/>
    <w:rsid w:val="39292CF8"/>
    <w:rsid w:val="397F2B6A"/>
    <w:rsid w:val="39DA2245"/>
    <w:rsid w:val="3B7A19EB"/>
    <w:rsid w:val="3B950B19"/>
    <w:rsid w:val="3C7805A2"/>
    <w:rsid w:val="3C901337"/>
    <w:rsid w:val="3E5227DD"/>
    <w:rsid w:val="3E6F10A1"/>
    <w:rsid w:val="3ECD1116"/>
    <w:rsid w:val="3F122481"/>
    <w:rsid w:val="3FA82747"/>
    <w:rsid w:val="40055B41"/>
    <w:rsid w:val="4057639D"/>
    <w:rsid w:val="40AA7E7D"/>
    <w:rsid w:val="41CA2B9F"/>
    <w:rsid w:val="41CF1EF3"/>
    <w:rsid w:val="42033039"/>
    <w:rsid w:val="428B0580"/>
    <w:rsid w:val="44E7657C"/>
    <w:rsid w:val="45E5269D"/>
    <w:rsid w:val="48546800"/>
    <w:rsid w:val="489D725F"/>
    <w:rsid w:val="48E47761"/>
    <w:rsid w:val="49494C42"/>
    <w:rsid w:val="49C820BA"/>
    <w:rsid w:val="4A83667D"/>
    <w:rsid w:val="4C054E59"/>
    <w:rsid w:val="4D445EFB"/>
    <w:rsid w:val="4EF17752"/>
    <w:rsid w:val="50DE1A1F"/>
    <w:rsid w:val="51C27D36"/>
    <w:rsid w:val="527C1C93"/>
    <w:rsid w:val="52C579E6"/>
    <w:rsid w:val="53122466"/>
    <w:rsid w:val="55EB5A15"/>
    <w:rsid w:val="561E2809"/>
    <w:rsid w:val="56E04EE6"/>
    <w:rsid w:val="572F521C"/>
    <w:rsid w:val="579B705F"/>
    <w:rsid w:val="57DA6296"/>
    <w:rsid w:val="5889510A"/>
    <w:rsid w:val="59850F1B"/>
    <w:rsid w:val="59AD3802"/>
    <w:rsid w:val="5A751DEA"/>
    <w:rsid w:val="5A755946"/>
    <w:rsid w:val="5ABF18BC"/>
    <w:rsid w:val="5B2C6D7D"/>
    <w:rsid w:val="5BD743DE"/>
    <w:rsid w:val="5BEA5E65"/>
    <w:rsid w:val="5BFF15A3"/>
    <w:rsid w:val="5CE447B6"/>
    <w:rsid w:val="5D646842"/>
    <w:rsid w:val="5F2A7F10"/>
    <w:rsid w:val="5F852791"/>
    <w:rsid w:val="608605A7"/>
    <w:rsid w:val="60FC2464"/>
    <w:rsid w:val="61DE76C6"/>
    <w:rsid w:val="620677CB"/>
    <w:rsid w:val="62A50D92"/>
    <w:rsid w:val="646830AE"/>
    <w:rsid w:val="64A7238C"/>
    <w:rsid w:val="64DD0CB7"/>
    <w:rsid w:val="654E42F5"/>
    <w:rsid w:val="65DF4CFD"/>
    <w:rsid w:val="66477914"/>
    <w:rsid w:val="66D512E8"/>
    <w:rsid w:val="67B416BE"/>
    <w:rsid w:val="683A3D2B"/>
    <w:rsid w:val="69116A62"/>
    <w:rsid w:val="6B4355EC"/>
    <w:rsid w:val="6B7144A1"/>
    <w:rsid w:val="6B861AF8"/>
    <w:rsid w:val="6C0369AE"/>
    <w:rsid w:val="6C136D9D"/>
    <w:rsid w:val="6C432361"/>
    <w:rsid w:val="6DA11374"/>
    <w:rsid w:val="71461053"/>
    <w:rsid w:val="71E573FD"/>
    <w:rsid w:val="72E42010"/>
    <w:rsid w:val="72F21DD2"/>
    <w:rsid w:val="73830C7C"/>
    <w:rsid w:val="75956A44"/>
    <w:rsid w:val="759F72BA"/>
    <w:rsid w:val="762D259F"/>
    <w:rsid w:val="767D44EB"/>
    <w:rsid w:val="7690756A"/>
    <w:rsid w:val="76BE175B"/>
    <w:rsid w:val="782A7918"/>
    <w:rsid w:val="784604CA"/>
    <w:rsid w:val="793024BA"/>
    <w:rsid w:val="797C0647"/>
    <w:rsid w:val="7AB041E9"/>
    <w:rsid w:val="7BA51BB2"/>
    <w:rsid w:val="7C4D6B98"/>
    <w:rsid w:val="7C4E6030"/>
    <w:rsid w:val="7D02665D"/>
    <w:rsid w:val="7D4F7E21"/>
    <w:rsid w:val="7F067B9D"/>
    <w:rsid w:val="7F2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styleId="8">
    <w:name w:val="List Paragraph"/>
    <w:basedOn w:val="1"/>
    <w:qFormat/>
    <w:uiPriority w:val="34"/>
    <w:pPr>
      <w:ind w:firstLine="420" w:firstLineChars="200"/>
    </w:pPr>
    <w:rPr>
      <w:rFonts w:ascii="Calibri" w:hAnsi="Calibri"/>
    </w:rPr>
  </w:style>
  <w:style w:type="character" w:customStyle="1" w:styleId="9">
    <w:name w:val="font31"/>
    <w:basedOn w:val="6"/>
    <w:qFormat/>
    <w:uiPriority w:val="0"/>
    <w:rPr>
      <w:rFonts w:hint="eastAsia" w:ascii="宋体" w:hAnsi="宋体" w:eastAsia="宋体" w:cs="宋体"/>
      <w:color w:val="FF0000"/>
      <w:sz w:val="24"/>
      <w:szCs w:val="24"/>
      <w:u w:val="none"/>
    </w:rPr>
  </w:style>
  <w:style w:type="character" w:customStyle="1" w:styleId="10">
    <w:name w:val="font21"/>
    <w:basedOn w:val="6"/>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3994</Words>
  <Characters>4668</Characters>
  <Lines>0</Lines>
  <Paragraphs>0</Paragraphs>
  <TotalTime>1</TotalTime>
  <ScaleCrop>false</ScaleCrop>
  <LinksUpToDate>false</LinksUpToDate>
  <CharactersWithSpaces>4885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2022-09-19T07:22:00Z</cp:lastPrinted>
  <dcterms:modified xsi:type="dcterms:W3CDTF">2022-09-20T03:49:25Z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D7952CA9FC48456687C89DFBEDA40070</vt:lpwstr>
  </property>
</Properties>
</file>